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</w:tblGrid>
      <w:tr w:rsidR="00250A08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8" w:rsidRDefault="00250A08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r>
              <w:rPr>
                <w:rFonts w:ascii="華康楷書體W5" w:eastAsia="華康楷書體W5" w:cs="華康楷書體W5" w:hint="eastAsia"/>
              </w:rPr>
              <w:t>收款異狀報告表</w:t>
            </w:r>
          </w:p>
        </w:tc>
      </w:tr>
    </w:tbl>
    <w:p w:rsidR="00250A08" w:rsidRDefault="00250A08">
      <w:pPr>
        <w:pStyle w:val="a3"/>
        <w:rPr>
          <w:rFonts w:ascii="Times New Roman" w:eastAsia="華康中明體" w:cs="華康中明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986"/>
        <w:gridCol w:w="2665"/>
        <w:gridCol w:w="1190"/>
        <w:gridCol w:w="171"/>
        <w:gridCol w:w="720"/>
        <w:gridCol w:w="414"/>
        <w:gridCol w:w="1928"/>
        <w:gridCol w:w="680"/>
        <w:gridCol w:w="1038"/>
        <w:gridCol w:w="168"/>
      </w:tblGrid>
      <w:tr w:rsidR="00250A08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  <w:trHeight w:hRule="exact" w:val="765"/>
          <w:jc w:val="center"/>
        </w:trPr>
        <w:tc>
          <w:tcPr>
            <w:tcW w:w="1145" w:type="dxa"/>
            <w:gridSpan w:val="2"/>
            <w:tcBorders>
              <w:top w:val="single" w:sz="12" w:space="0" w:color="auto"/>
            </w:tcBorders>
            <w:vAlign w:val="center"/>
          </w:tcPr>
          <w:p w:rsidR="00250A08" w:rsidRDefault="00250A08">
            <w:pPr>
              <w:pStyle w:val="a3"/>
              <w:ind w:left="57" w:right="57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顧客名稱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center"/>
          </w:tcPr>
          <w:p w:rsidR="00250A08" w:rsidRDefault="00250A08">
            <w:pPr>
              <w:pStyle w:val="a3"/>
              <w:ind w:left="57" w:right="57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</w:tcBorders>
            <w:vAlign w:val="center"/>
          </w:tcPr>
          <w:p w:rsidR="00250A08" w:rsidRDefault="00250A08">
            <w:pPr>
              <w:pStyle w:val="a3"/>
              <w:ind w:left="57" w:right="57"/>
              <w:jc w:val="distribute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A</w:t>
            </w:r>
            <w:r>
              <w:rPr>
                <w:rFonts w:ascii="Times New Roman" w:eastAsia="華康中明體" w:cs="華康中明體" w:hint="eastAsia"/>
              </w:rPr>
              <w:t>、</w:t>
            </w:r>
            <w:r>
              <w:rPr>
                <w:rFonts w:ascii="Times New Roman" w:eastAsia="華康中明體" w:cs="Times New Roman"/>
              </w:rPr>
              <w:t>B</w:t>
            </w:r>
            <w:r>
              <w:rPr>
                <w:rFonts w:ascii="Times New Roman" w:eastAsia="華康中明體" w:cs="華康中明體" w:hint="eastAsia"/>
              </w:rPr>
              <w:t>、</w:t>
            </w:r>
            <w:r>
              <w:rPr>
                <w:rFonts w:ascii="Times New Roman" w:eastAsia="華康中明體" w:cs="Times New Roman"/>
              </w:rPr>
              <w:t>C</w:t>
            </w:r>
          </w:p>
          <w:p w:rsidR="00250A08" w:rsidRDefault="00250A08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等級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250A08" w:rsidRDefault="00250A08">
            <w:pPr>
              <w:pStyle w:val="a3"/>
              <w:ind w:left="57" w:right="57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平均每月</w:t>
            </w:r>
          </w:p>
          <w:p w:rsidR="00250A08" w:rsidRDefault="00250A08">
            <w:pPr>
              <w:pStyle w:val="a3"/>
              <w:ind w:left="57" w:right="57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交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易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額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250A08" w:rsidRDefault="00250A08">
            <w:pPr>
              <w:pStyle w:val="a3"/>
              <w:ind w:left="57" w:right="57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萬元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250A08" w:rsidRDefault="00250A08">
            <w:pPr>
              <w:pStyle w:val="a3"/>
              <w:ind w:left="57" w:right="57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交易</w:t>
            </w:r>
          </w:p>
          <w:p w:rsidR="00250A08" w:rsidRDefault="00250A08">
            <w:pPr>
              <w:pStyle w:val="a3"/>
              <w:ind w:left="57" w:right="57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年資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250A08" w:rsidRDefault="00250A08">
            <w:pPr>
              <w:pStyle w:val="a3"/>
              <w:ind w:left="57" w:right="5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年</w:t>
            </w:r>
          </w:p>
        </w:tc>
      </w:tr>
      <w:tr w:rsidR="00250A08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  <w:cantSplit/>
          <w:trHeight w:hRule="exact" w:val="765"/>
          <w:jc w:val="center"/>
        </w:trPr>
        <w:tc>
          <w:tcPr>
            <w:tcW w:w="5891" w:type="dxa"/>
            <w:gridSpan w:val="6"/>
            <w:vAlign w:val="center"/>
          </w:tcPr>
          <w:p w:rsidR="00250A08" w:rsidRDefault="00250A08">
            <w:pPr>
              <w:pStyle w:val="a3"/>
              <w:ind w:left="567" w:right="56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收款異狀情況</w:t>
            </w:r>
          </w:p>
        </w:tc>
        <w:tc>
          <w:tcPr>
            <w:tcW w:w="4060" w:type="dxa"/>
            <w:gridSpan w:val="4"/>
            <w:vAlign w:val="center"/>
          </w:tcPr>
          <w:p w:rsidR="00250A08" w:rsidRDefault="00250A08">
            <w:pPr>
              <w:pStyle w:val="a3"/>
              <w:ind w:left="567" w:right="567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造成異狀的原因</w:t>
            </w:r>
          </w:p>
        </w:tc>
      </w:tr>
      <w:tr w:rsidR="00250A0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9" w:type="dxa"/>
          <w:cantSplit/>
          <w:trHeight w:hRule="exact" w:val="1814"/>
        </w:trPr>
        <w:tc>
          <w:tcPr>
            <w:tcW w:w="4841" w:type="dxa"/>
            <w:gridSpan w:val="3"/>
            <w:vAlign w:val="center"/>
          </w:tcPr>
          <w:p w:rsidR="00250A08" w:rsidRDefault="00250A08">
            <w:pPr>
              <w:pStyle w:val="a3"/>
              <w:numPr>
                <w:ilvl w:val="0"/>
                <w:numId w:val="1"/>
              </w:numPr>
              <w:ind w:left="249" w:hanging="136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收款金額（差額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10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％以上）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ind w:firstLine="350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預定收款金額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萬元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ind w:firstLine="352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實際收款金額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萬元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ind w:firstLine="35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差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額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萬元</w:t>
            </w:r>
          </w:p>
        </w:tc>
        <w:tc>
          <w:tcPr>
            <w:tcW w:w="5119" w:type="dxa"/>
            <w:gridSpan w:val="7"/>
            <w:vMerge w:val="restart"/>
          </w:tcPr>
          <w:p w:rsidR="00250A08" w:rsidRDefault="00250A08">
            <w:pPr>
              <w:pStyle w:val="a3"/>
              <w:ind w:lef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對方尚未整理帳目</w:t>
            </w:r>
          </w:p>
          <w:p w:rsidR="00250A08" w:rsidRDefault="00250A08">
            <w:pPr>
              <w:pStyle w:val="a3"/>
              <w:ind w:left="170" w:firstLine="13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(1)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對方尚未驗收及核帳</w:t>
            </w:r>
          </w:p>
          <w:p w:rsidR="00250A08" w:rsidRDefault="00250A08">
            <w:pPr>
              <w:pStyle w:val="a3"/>
              <w:ind w:left="170" w:firstLine="13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(2)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整批訂單裡先交的部份貨品</w:t>
            </w:r>
          </w:p>
          <w:p w:rsidR="00250A08" w:rsidRDefault="00250A08">
            <w:pPr>
              <w:pStyle w:val="a3"/>
              <w:ind w:left="170" w:firstLine="13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(3)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因遲延交貨故尚未驗收及核帳</w:t>
            </w:r>
          </w:p>
          <w:p w:rsidR="00250A08" w:rsidRDefault="00250A08">
            <w:pPr>
              <w:pStyle w:val="a3"/>
              <w:ind w:left="170" w:firstLine="13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(4)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貨品尚未送達</w:t>
            </w:r>
          </w:p>
          <w:p w:rsidR="00250A08" w:rsidRDefault="00250A08">
            <w:pPr>
              <w:pStyle w:val="a3"/>
              <w:ind w:left="170" w:firstLine="13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(5)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帳單未送達</w:t>
            </w:r>
          </w:p>
          <w:p w:rsidR="00250A08" w:rsidRDefault="00250A08">
            <w:pPr>
              <w:pStyle w:val="a3"/>
              <w:ind w:left="170" w:firstLine="13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(6)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貨品不良不予核帳</w:t>
            </w:r>
          </w:p>
          <w:p w:rsidR="00250A08" w:rsidRDefault="00250A08">
            <w:pPr>
              <w:pStyle w:val="a3"/>
              <w:ind w:left="170" w:firstLine="13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(7)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退貨</w:t>
            </w:r>
          </w:p>
          <w:p w:rsidR="00250A08" w:rsidRDefault="00250A08">
            <w:pPr>
              <w:pStyle w:val="a3"/>
              <w:ind w:left="170" w:firstLine="13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(8)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其他</w:t>
            </w:r>
          </w:p>
          <w:p w:rsidR="00250A08" w:rsidRDefault="00250A08">
            <w:pPr>
              <w:pStyle w:val="a3"/>
              <w:ind w:left="57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由於對方資金週轉不靈</w:t>
            </w:r>
          </w:p>
          <w:p w:rsidR="00250A08" w:rsidRDefault="00250A08">
            <w:pPr>
              <w:pStyle w:val="a3"/>
              <w:ind w:left="170" w:firstLine="13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(1)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設備投資過於龐大</w:t>
            </w:r>
          </w:p>
          <w:p w:rsidR="00250A08" w:rsidRDefault="00250A08">
            <w:pPr>
              <w:pStyle w:val="a3"/>
              <w:ind w:left="170" w:firstLine="13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(2)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對方耍賴，故意倒帳</w:t>
            </w:r>
          </w:p>
          <w:p w:rsidR="00250A08" w:rsidRDefault="00250A08">
            <w:pPr>
              <w:pStyle w:val="a3"/>
              <w:ind w:left="170" w:firstLine="13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(3)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對方貨品庫存積壓，資金週轉不靈</w:t>
            </w:r>
          </w:p>
          <w:p w:rsidR="00250A08" w:rsidRDefault="00250A08">
            <w:pPr>
              <w:pStyle w:val="a3"/>
              <w:ind w:left="170" w:firstLine="13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(4)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對方的原、物料庫存過大</w:t>
            </w:r>
          </w:p>
          <w:p w:rsidR="00250A08" w:rsidRDefault="00250A08">
            <w:pPr>
              <w:pStyle w:val="a3"/>
              <w:ind w:left="170" w:firstLine="13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(5)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對方銷售不振</w:t>
            </w:r>
          </w:p>
          <w:p w:rsidR="00250A08" w:rsidRDefault="00250A08">
            <w:pPr>
              <w:pStyle w:val="a3"/>
              <w:ind w:left="170" w:firstLine="130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(6)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其他</w:t>
            </w:r>
          </w:p>
        </w:tc>
        <w:bookmarkStart w:id="0" w:name="_GoBack"/>
        <w:bookmarkEnd w:id="0"/>
      </w:tr>
      <w:tr w:rsidR="00250A0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9" w:type="dxa"/>
          <w:cantSplit/>
          <w:trHeight w:hRule="exact" w:val="1814"/>
        </w:trPr>
        <w:tc>
          <w:tcPr>
            <w:tcW w:w="4841" w:type="dxa"/>
            <w:gridSpan w:val="3"/>
            <w:vAlign w:val="center"/>
          </w:tcPr>
          <w:p w:rsidR="00250A08" w:rsidRDefault="00250A08">
            <w:pPr>
              <w:pStyle w:val="a3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遲延付款日數（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10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天以上）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預定付款日期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實際收款日期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遲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延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/>
                <w:sz w:val="20"/>
                <w:szCs w:val="20"/>
              </w:rPr>
              <w:t> 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期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</w:p>
        </w:tc>
        <w:tc>
          <w:tcPr>
            <w:tcW w:w="5119" w:type="dxa"/>
            <w:gridSpan w:val="7"/>
            <w:vMerge/>
            <w:vAlign w:val="center"/>
          </w:tcPr>
          <w:p w:rsidR="00250A08" w:rsidRDefault="00250A08">
            <w:pPr>
              <w:pStyle w:val="a3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</w:tr>
      <w:tr w:rsidR="00250A0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9" w:type="dxa"/>
          <w:cantSplit/>
          <w:trHeight w:hRule="exact" w:val="1814"/>
        </w:trPr>
        <w:tc>
          <w:tcPr>
            <w:tcW w:w="4841" w:type="dxa"/>
            <w:gridSpan w:val="3"/>
            <w:vAlign w:val="center"/>
          </w:tcPr>
          <w:p w:rsidR="00250A08" w:rsidRDefault="00250A08">
            <w:pPr>
              <w:pStyle w:val="a3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收款方法上的差異（達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10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％以上時）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合約規定‧現金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％‧票據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％‧合計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實際收到‧現金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％‧票據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％‧合計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差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距‧現金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％‧票據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％‧合計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％</w:t>
            </w:r>
          </w:p>
        </w:tc>
        <w:tc>
          <w:tcPr>
            <w:tcW w:w="5119" w:type="dxa"/>
            <w:gridSpan w:val="7"/>
            <w:vMerge/>
            <w:vAlign w:val="center"/>
          </w:tcPr>
          <w:p w:rsidR="00250A08" w:rsidRDefault="00250A08">
            <w:pPr>
              <w:pStyle w:val="a3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</w:tr>
      <w:tr w:rsidR="00250A0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9" w:type="dxa"/>
          <w:cantSplit/>
          <w:trHeight w:hRule="exact" w:val="1814"/>
        </w:trPr>
        <w:tc>
          <w:tcPr>
            <w:tcW w:w="4841" w:type="dxa"/>
            <w:gridSpan w:val="3"/>
            <w:vAlign w:val="center"/>
          </w:tcPr>
          <w:p w:rsidR="00250A08" w:rsidRDefault="00250A08">
            <w:pPr>
              <w:pStyle w:val="a3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票據延期（達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>10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日以上）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原訂付款日期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延期付款日期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</w:p>
          <w:p w:rsidR="00250A08" w:rsidRDefault="00250A08">
            <w:pPr>
              <w:pStyle w:val="a3"/>
              <w:ind w:left="352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延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緩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/>
                <w:sz w:val="20"/>
                <w:szCs w:val="20"/>
              </w:rPr>
              <w:t> 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數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月</w:t>
            </w:r>
            <w:r>
              <w:rPr>
                <w:rFonts w:ascii="Times New Roman" w:eastAsia="華康中明體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日</w:t>
            </w:r>
          </w:p>
        </w:tc>
        <w:tc>
          <w:tcPr>
            <w:tcW w:w="5119" w:type="dxa"/>
            <w:gridSpan w:val="7"/>
            <w:vMerge/>
            <w:vAlign w:val="center"/>
          </w:tcPr>
          <w:p w:rsidR="00250A08" w:rsidRDefault="00250A08">
            <w:pPr>
              <w:pStyle w:val="a3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</w:tr>
      <w:tr w:rsidR="00250A0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9" w:type="dxa"/>
          <w:cantSplit/>
          <w:trHeight w:hRule="exact" w:val="1814"/>
        </w:trPr>
        <w:tc>
          <w:tcPr>
            <w:tcW w:w="4841" w:type="dxa"/>
            <w:gridSpan w:val="3"/>
          </w:tcPr>
          <w:p w:rsidR="00250A08" w:rsidRDefault="00250A08">
            <w:pPr>
              <w:pStyle w:val="a3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有關該公司的輿論風評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未曾聽說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聽到的內容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19" w:type="dxa"/>
            <w:gridSpan w:val="7"/>
          </w:tcPr>
          <w:p w:rsidR="00250A08" w:rsidRDefault="00250A08">
            <w:pPr>
              <w:pStyle w:val="a3"/>
              <w:spacing w:line="320" w:lineRule="atLeast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因應對策的意見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spacing w:line="320" w:lineRule="atLeast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繼續交易往來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spacing w:line="320" w:lineRule="atLeast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一面警戒一面繼續往來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spacing w:line="320" w:lineRule="atLeast"/>
              <w:ind w:lef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終止往來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spacing w:line="320" w:lineRule="atLeast"/>
              <w:ind w:left="11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其他</w:t>
            </w:r>
          </w:p>
        </w:tc>
      </w:tr>
      <w:tr w:rsidR="00250A0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9" w:type="dxa"/>
          <w:cantSplit/>
          <w:trHeight w:hRule="exact" w:val="1814"/>
        </w:trPr>
        <w:tc>
          <w:tcPr>
            <w:tcW w:w="9960" w:type="dxa"/>
            <w:gridSpan w:val="10"/>
            <w:tcBorders>
              <w:bottom w:val="single" w:sz="12" w:space="0" w:color="auto"/>
            </w:tcBorders>
            <w:vAlign w:val="center"/>
          </w:tcPr>
          <w:p w:rsidR="00250A08" w:rsidRDefault="00250A08">
            <w:pPr>
              <w:pStyle w:val="a3"/>
              <w:spacing w:line="340" w:lineRule="atLeast"/>
              <w:ind w:left="113" w:right="11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上級的決策指示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1.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終止交易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(1)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即刻終止交易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(2)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暫時停止交易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(3)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伺機停止交易</w:t>
            </w:r>
          </w:p>
          <w:p w:rsidR="00250A08" w:rsidRDefault="00250A08">
            <w:pPr>
              <w:pStyle w:val="a3"/>
              <w:spacing w:line="340" w:lineRule="atLeast"/>
              <w:ind w:left="113" w:right="11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            2.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繼續交易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(1)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限制每個月的交易金額</w:t>
            </w:r>
          </w:p>
          <w:p w:rsidR="00250A08" w:rsidRDefault="00250A08">
            <w:pPr>
              <w:pStyle w:val="a3"/>
              <w:spacing w:line="340" w:lineRule="atLeast"/>
              <w:ind w:left="113" w:righ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                         (2)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待改善收款條件後再繼續往來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</w:t>
            </w:r>
          </w:p>
          <w:p w:rsidR="00250A08" w:rsidRDefault="00250A08">
            <w:pPr>
              <w:pStyle w:val="a3"/>
              <w:spacing w:line="340" w:lineRule="atLeast"/>
              <w:ind w:left="113" w:right="113"/>
              <w:rPr>
                <w:rFonts w:ascii="Times New Roman" w:eastAsia="華康中明體" w:cs="Times New Roman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                         (3) 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慎選交易商品繼續做交易</w:t>
            </w: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</w:t>
            </w:r>
          </w:p>
          <w:p w:rsidR="00250A08" w:rsidRDefault="00250A08">
            <w:pPr>
              <w:pStyle w:val="a3"/>
              <w:spacing w:after="40" w:line="340" w:lineRule="atLeast"/>
              <w:ind w:left="113" w:right="113"/>
              <w:rPr>
                <w:rFonts w:ascii="Times New Roman" w:eastAsia="華康中明體" w:cs="華康中明體"/>
                <w:sz w:val="20"/>
                <w:szCs w:val="20"/>
              </w:rPr>
            </w:pPr>
            <w:r>
              <w:rPr>
                <w:rFonts w:ascii="Times New Roman" w:eastAsia="華康中明體" w:cs="Times New Roman"/>
                <w:sz w:val="20"/>
                <w:szCs w:val="20"/>
              </w:rPr>
              <w:t xml:space="preserve">                3.</w:t>
            </w:r>
            <w:r>
              <w:rPr>
                <w:rFonts w:ascii="Times New Roman" w:eastAsia="華康中明體" w:cs="華康中明體" w:hint="eastAsia"/>
                <w:sz w:val="20"/>
                <w:szCs w:val="20"/>
              </w:rPr>
              <w:t>其他</w:t>
            </w:r>
          </w:p>
          <w:p w:rsidR="00250A08" w:rsidRDefault="00250A08">
            <w:pPr>
              <w:pStyle w:val="a3"/>
              <w:rPr>
                <w:rFonts w:ascii="Times New Roman" w:eastAsia="華康中明體" w:cs="華康中明體"/>
                <w:sz w:val="20"/>
                <w:szCs w:val="20"/>
              </w:rPr>
            </w:pPr>
          </w:p>
        </w:tc>
      </w:tr>
    </w:tbl>
    <w:p w:rsidR="00250A08" w:rsidRDefault="00250A08">
      <w:pPr>
        <w:pStyle w:val="a3"/>
        <w:rPr>
          <w:rFonts w:ascii="Times New Roman" w:eastAsia="華康中明體" w:cs="華康中明體"/>
          <w:sz w:val="20"/>
          <w:szCs w:val="20"/>
        </w:rPr>
      </w:pPr>
    </w:p>
    <w:p w:rsidR="00250A08" w:rsidRDefault="00250A08">
      <w:r>
        <w:rPr>
          <w:rFonts w:eastAsia="華康中明體" w:cs="Times New Roman"/>
        </w:rPr>
        <w:t xml:space="preserve">  </w:t>
      </w:r>
      <w:r>
        <w:rPr>
          <w:rFonts w:eastAsia="華康中明體" w:cs="華康中明體" w:hint="eastAsia"/>
        </w:rPr>
        <w:t>經理：</w:t>
      </w:r>
      <w:r>
        <w:rPr>
          <w:rFonts w:eastAsia="華康中明體" w:cs="Times New Roman"/>
        </w:rPr>
        <w:t xml:space="preserve">  </w:t>
      </w:r>
      <w:r>
        <w:rPr>
          <w:rFonts w:eastAsia="華康中明體" w:cs="Times New Roman"/>
        </w:rPr>
        <w:tab/>
      </w:r>
      <w:r>
        <w:rPr>
          <w:rFonts w:eastAsia="華康中明體" w:cs="華康中明體" w:hint="eastAsia"/>
        </w:rPr>
        <w:t>課長：</w:t>
      </w:r>
      <w:r>
        <w:rPr>
          <w:rFonts w:eastAsia="華康中明體" w:cs="Times New Roman"/>
        </w:rPr>
        <w:t xml:space="preserve">  </w:t>
      </w:r>
      <w:r>
        <w:rPr>
          <w:rFonts w:eastAsia="華康中明體" w:cs="Times New Roman"/>
        </w:rPr>
        <w:tab/>
      </w:r>
      <w:r>
        <w:rPr>
          <w:rFonts w:eastAsia="華康中明體" w:cs="華康中明體" w:hint="eastAsia"/>
        </w:rPr>
        <w:t>承辦人：</w:t>
      </w:r>
    </w:p>
    <w:sectPr w:rsidR="00250A08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4C2D"/>
    <w:multiLevelType w:val="singleLevel"/>
    <w:tmpl w:val="A80EC054"/>
    <w:lvl w:ilvl="0">
      <w:start w:val="1"/>
      <w:numFmt w:val="decimal"/>
      <w:lvlText w:val="%1."/>
      <w:legacy w:legacy="1" w:legacySpace="0" w:legacyIndent="135"/>
      <w:lvlJc w:val="left"/>
      <w:pPr>
        <w:ind w:left="248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D6"/>
    <w:rsid w:val="00250A08"/>
    <w:rsid w:val="006A4F16"/>
    <w:rsid w:val="00C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收款異狀報告表</dc:title>
  <dc:creator>P-NET</dc:creator>
  <cp:lastModifiedBy>msi</cp:lastModifiedBy>
  <cp:revision>2</cp:revision>
  <dcterms:created xsi:type="dcterms:W3CDTF">2016-04-06T07:42:00Z</dcterms:created>
  <dcterms:modified xsi:type="dcterms:W3CDTF">2016-04-06T07:42:00Z</dcterms:modified>
</cp:coreProperties>
</file>